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280</w:t>
      </w:r>
    </w:p>
    <w:p>
      <w:r>
        <w:t>Bundesgericht (BGE), 1994-09-12, DE</w:t>
      </w:r>
    </w:p>
    <w:p>
      <w:r>
        <w:rPr>
          <w:b/>
        </w:rPr>
        <w:t xml:space="preserve">Quelle: </w:t>
      </w:r>
      <w:r>
        <w:t>https://mcp.opencaselaw.ch/entscheid/bge_120 IV 280</w:t>
      </w:r>
    </w:p>
    <w:p>
      <w:r>
        <w:t>FR: ATF 120 IV 280</w:t>
      </w:r>
    </w:p>
    <w:p>
      <w:r>
        <w:t>IT: DTF 120 IV 280</w:t>
      </w:r>
    </w:p>
    <w:p>
      <w:pPr>
        <w:pStyle w:val="Heading2"/>
      </w:pPr>
      <w:r>
        <w:t>Regeste</w:t>
      </w:r>
    </w:p>
    <w:p>
      <w:r>
        <w:t>Regeste Art. 346 ff. StGB. Bestimmung des Gerichtsstandes. Zwingende Voraussetzung für ein ausnahmsweises Abweichen vom gesetzlichen Gerichtsstand ist ein örtlicher Anknüpfungspunkt zum Gebiet jenes Kantons, in dem der Gerichtsstand bestimmt werden soll (E. 2). Voraussetzungen, unter denen ein beteiligter Kanton dem beschuldigten Gesuchsteller eine Parteientschädigung auszurichten hat (E. 3).</w:t>
      </w:r>
    </w:p>
    <w:p>
      <w:pPr>
        <w:pStyle w:val="Heading2"/>
      </w:pPr>
      <w:r>
        <w:t>Erwägungen</w:t>
      </w:r>
    </w:p>
    <w:p>
      <w:r>
        <w:rPr>
          <w:b/>
        </w:rPr>
        <w:t>E. 1</w:t>
      </w:r>
    </w:p>
    <w:p>
      <w:r>
        <w:t>a) Die Behörden des Kantons Zug führen gestützt auf eine Strafanzeige der Firma M. AG vom 27. Juni 1991 eine Strafuntersuchung gegen B., Verantwortlicher der Firma S. AG mit Sitz in Zug. Dem Beschuldigten wird vorgeworfen, er habe in der schweizerischen Tageszeitung "Blick" und im "Tages-Anzeiger" Inserate mit dem Zusatz "immer billiger" erscheinen lassen und damit gegen das Bundesgesetz gegen den unlauteren Wettbewerb (UWG; SR 241) sowie die Ausverkaufsverordnung (AV; SR 241.1) verstossen. b) ... . Am 10. Mai 1994 schloss das Verhöramt des Kantons Zug die Untersuchung ab und überwies das Verfahren an die Staatsanwaltschaft des Kantons Zug, die B. am 22. Juni 1994 dem Polizeirichteramt des Kantons Zug zur Beurteilung überwies. ... d) Mit Gesuch vom 11. August 1994 beantragt B. der Anklagekammer des Bundesgerichts, es sei der Kanton Zürich als der für die Strafverfolgung zuständige Kanton zu bezeichnen. Die Staatsanwaltschaft des Kantons Zürich beantragt sinngemäss, das Gesuch abzuweisen. Das Verhöramt des Kantons Zug beantragt, das Verfahren zur Weiterverfolgung dem Kanton Zürich zu übertragen.</w:t>
      </w:r>
    </w:p>
    <w:p>
      <w:r>
        <w:rPr>
          <w:b/>
        </w:rPr>
        <w:t>E. 2</w:t>
      </w:r>
    </w:p>
    <w:p>
      <w:r>
        <w:t>a) Die Parteien stimmen offensichtlich darin überein, dass gemäss Art. 347 Abs. 1 StGB der gesetzliche Gerichtsstand im Kanton Zürich liegt, wo sich zumindest der Herausgabeort des "Tages-Anzeiger" sowie der Wohnort des Gesuchstellers befindet. b) Die interkantonale Zuständigkeit in Strafsachen kann ausnahmsweise nicht nur durch die Anklagekammer des Bundesgerichts, sondern auch durch Vereinbarung unter den Kantonen anders BGE 120 IV 280 S. 282 als nach den Art. 346 ff. StGB bestimmt werden (vgl. BGE 119 IV 102 E. 4b mit Hinweisen, 250 E. 3c). Zwingende Voraussetzung für ein solches Abweichen vom gesetzlichen Gerichtsstand ist indessen ein örtlicher Anknüpfungspunkt zum Gebiet jenes Kantons, in dem der Gerichtsstand bestimmt werden soll (vgl. BGE 119 IV 102 E. 4c in fine, 250 E. 3c mit Hinweis; BGE 117 IV 90 E. 4b; BGE 92 IV 57 E. 3; SCHWERI, Interkantonale Gerichtsstandsbestimmung in Strafsachen, N. 141 und 278). c) Weil im Kanton Zug im vorliegenden Fall offensichtlich kein örtlicher Anknüpfungspunkt besteht, kann dieser Kanton als Gerichtsstand wegen der damit fehlenden Gerichtsbarkeit nicht in Frage kommen. Da der "Tages-Anzeiger" in Zürich herausgegeben wird, der Gesuchsteller dort seinen Wohnort hat, und die Staatsanwaltschaft des Kantons Zürich keinen Eventualantrag auf Bestimmung des Gerichtsstandes im Kanton Luzern stellt, wo nach ihrer Darstellung im Meinungsaustauschverfahren der Herausgabeort des "Blick" sein soll, braucht nicht geprüft zu werden, wo die Untersuchung im Sinne von Art. 347 Abs. 1 letzter Satz StGB zuerst angehoben wurde.</w:t>
      </w:r>
    </w:p>
    <w:p>
      <w:r>
        <w:rPr>
          <w:b/>
        </w:rPr>
        <w:t>E. 3</w:t>
      </w:r>
    </w:p>
    <w:p>
      <w:r>
        <w:t>a) Das Gesuch ist aus diesen Gründen gutzuheissen. Gemäss Art. 156 Abs. 2 OG werden keine Kosten erhoben. Die Behörden des Kantons Zürich hätten indessen aufgrund der publizierten Praxis der Anklagekammer zu den Art. 346 ff. StGB erkennen können, dass der Kanton Zug als Gerichtsstand nicht in Frage kommen kann. Sie haben damit das vorliegende Verfahren unnötig verursacht (vgl. SCHWERI, a.a.O. N. 577 und 579) und den Gesuchsteller für das bundesgerichtliche Verfahren zu entschädigen (Art. 159 Abs. 5 in Verbindung mit Art. 156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